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85" w:rsidRDefault="00A20928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</w:t>
      </w:r>
      <w:r w:rsidR="00425F85">
        <w:rPr>
          <w:b/>
          <w:i/>
        </w:rPr>
        <w:t>eta-analysis of time-to-event data</w:t>
      </w:r>
    </w:p>
    <w:p w:rsidR="00E9336F" w:rsidRDefault="00E9336F" w:rsidP="00425F85">
      <w:pPr>
        <w:spacing w:after="0" w:line="240" w:lineRule="auto"/>
        <w:jc w:val="center"/>
        <w:rPr>
          <w:b/>
          <w:i/>
        </w:rPr>
      </w:pPr>
    </w:p>
    <w:p w:rsidR="006B04ED" w:rsidRPr="00E346A1" w:rsidRDefault="00425F85" w:rsidP="00E346A1">
      <w:pPr>
        <w:rPr>
          <w:i/>
        </w:rPr>
      </w:pPr>
      <w:r w:rsidRPr="001C5EEA">
        <w:rPr>
          <w:i/>
        </w:rPr>
        <w:t xml:space="preserve">For the trial of Gemcitabine in combination with </w:t>
      </w:r>
      <w:proofErr w:type="spellStart"/>
      <w:r w:rsidRPr="001C5EEA">
        <w:rPr>
          <w:i/>
        </w:rPr>
        <w:t>Oxaliplatin</w:t>
      </w:r>
      <w:proofErr w:type="spellEnd"/>
      <w:r w:rsidRPr="001C5EEA">
        <w:rPr>
          <w:i/>
        </w:rPr>
        <w:t xml:space="preserve"> for pancreatic cancer (</w:t>
      </w:r>
      <w:proofErr w:type="spellStart"/>
      <w:r w:rsidRPr="001C5EEA">
        <w:rPr>
          <w:i/>
        </w:rPr>
        <w:t>Louvet</w:t>
      </w:r>
      <w:proofErr w:type="spellEnd"/>
      <w:r w:rsidRPr="001C5EEA">
        <w:rPr>
          <w:i/>
        </w:rPr>
        <w:t xml:space="preserve"> et al 2005), please complete the following as far as possible for the outcome Overall Survival</w:t>
      </w:r>
      <w:r w:rsidR="00E346A1">
        <w:rPr>
          <w:i/>
        </w:rPr>
        <w:t xml:space="preserve"> and e</w:t>
      </w:r>
      <w:r w:rsidR="00E346A1" w:rsidRPr="00E346A1">
        <w:rPr>
          <w:i/>
        </w:rPr>
        <w:t xml:space="preserve">nter data into the excel spreadsheet </w:t>
      </w:r>
      <w:r w:rsidR="00E346A1">
        <w:rPr>
          <w:i/>
        </w:rPr>
        <w:t xml:space="preserve">(link below) to find </w:t>
      </w:r>
      <w:proofErr w:type="spellStart"/>
      <w:r w:rsidR="00E346A1">
        <w:rPr>
          <w:i/>
        </w:rPr>
        <w:t>logHR</w:t>
      </w:r>
      <w:proofErr w:type="spellEnd"/>
      <w:r w:rsidR="00E346A1">
        <w:rPr>
          <w:i/>
        </w:rPr>
        <w:t xml:space="preserve"> and SE for this trial</w:t>
      </w:r>
    </w:p>
    <w:p w:rsidR="00E346A1" w:rsidRPr="00E346A1" w:rsidRDefault="007929A4" w:rsidP="00E346A1">
      <w:pPr>
        <w:jc w:val="both"/>
        <w:rPr>
          <w:i/>
        </w:rPr>
      </w:pPr>
      <w:hyperlink r:id="rId5" w:history="1">
        <w:r w:rsidR="00E346A1" w:rsidRPr="00E346A1">
          <w:rPr>
            <w:rStyle w:val="Hyperlink"/>
            <w:i/>
            <w:iCs/>
          </w:rPr>
          <w:t>http://</w:t>
        </w:r>
      </w:hyperlink>
      <w:hyperlink r:id="rId6" w:history="1">
        <w:r w:rsidR="00E346A1" w:rsidRPr="00E346A1">
          <w:rPr>
            <w:rStyle w:val="Hyperlink"/>
            <w:i/>
            <w:iCs/>
          </w:rPr>
          <w:t>www.biomedcentral.com/content/supplementary/1745-6215-8-16-S1.xls</w:t>
        </w:r>
      </w:hyperlink>
    </w:p>
    <w:p w:rsidR="001B683E" w:rsidRDefault="00425F85" w:rsidP="00425F85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bookmarkStart w:id="0" w:name="_GoBack"/>
      <w:bookmarkEnd w:id="0"/>
      <w:r w:rsidRPr="00425F85">
        <w:rPr>
          <w:b/>
          <w:i/>
          <w:u w:val="single"/>
        </w:rPr>
        <w:t>Data Extraction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6"/>
        <w:gridCol w:w="2410"/>
        <w:gridCol w:w="2046"/>
      </w:tblGrid>
      <w:tr w:rsidR="00425F85" w:rsidRPr="0017190C" w:rsidTr="003B6049">
        <w:tc>
          <w:tcPr>
            <w:tcW w:w="2589" w:type="pct"/>
          </w:tcPr>
          <w:p w:rsidR="00425F85" w:rsidRPr="0017190C" w:rsidRDefault="00425F85" w:rsidP="00134371">
            <w:pPr>
              <w:jc w:val="center"/>
              <w:rPr>
                <w:b/>
              </w:rPr>
            </w:pPr>
            <w:r>
              <w:rPr>
                <w:b/>
              </w:rPr>
              <w:t>Data to extract</w:t>
            </w:r>
          </w:p>
          <w:p w:rsidR="00425F85" w:rsidRPr="0017190C" w:rsidRDefault="00425F85" w:rsidP="00134371">
            <w:pPr>
              <w:jc w:val="center"/>
              <w:rPr>
                <w:b/>
              </w:rPr>
            </w:pPr>
          </w:p>
        </w:tc>
        <w:tc>
          <w:tcPr>
            <w:tcW w:w="1304" w:type="pct"/>
          </w:tcPr>
          <w:p w:rsidR="00425F85" w:rsidRPr="0017190C" w:rsidRDefault="001D6BD1" w:rsidP="00134371">
            <w:pPr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1107" w:type="pct"/>
          </w:tcPr>
          <w:p w:rsidR="00425F85" w:rsidRPr="0017190C" w:rsidRDefault="001D6BD1" w:rsidP="00134371">
            <w:pPr>
              <w:jc w:val="center"/>
              <w:rPr>
                <w:b/>
              </w:rPr>
            </w:pPr>
            <w:r>
              <w:rPr>
                <w:b/>
              </w:rPr>
              <w:t>Control</w:t>
            </w:r>
          </w:p>
        </w:tc>
      </w:tr>
      <w:tr w:rsidR="00425F85" w:rsidTr="003B6049">
        <w:tc>
          <w:tcPr>
            <w:tcW w:w="2589" w:type="pct"/>
          </w:tcPr>
          <w:p w:rsidR="00425F85" w:rsidRDefault="001D6BD1" w:rsidP="001D6BD1">
            <w:r>
              <w:t>Randomisation ratio (e.g. 1:1)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425F85" w:rsidTr="003B6049">
        <w:tc>
          <w:tcPr>
            <w:tcW w:w="2589" w:type="pct"/>
          </w:tcPr>
          <w:p w:rsidR="00425F85" w:rsidRDefault="001D6BD1" w:rsidP="00134371">
            <w:r>
              <w:t>Number randomised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425F85" w:rsidTr="003B6049">
        <w:tc>
          <w:tcPr>
            <w:tcW w:w="2589" w:type="pct"/>
          </w:tcPr>
          <w:p w:rsidR="00425F85" w:rsidRDefault="001D6BD1" w:rsidP="00134371">
            <w:r>
              <w:t>Number analysed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425F85" w:rsidTr="003B6049">
        <w:tc>
          <w:tcPr>
            <w:tcW w:w="2589" w:type="pct"/>
          </w:tcPr>
          <w:p w:rsidR="00425F85" w:rsidRDefault="001D6BD1" w:rsidP="00134371">
            <w:r>
              <w:t>Observed events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1D6BD1" w:rsidTr="003B6049">
        <w:tc>
          <w:tcPr>
            <w:tcW w:w="2589" w:type="pct"/>
          </w:tcPr>
          <w:p w:rsidR="001D6BD1" w:rsidRDefault="001D6BD1" w:rsidP="00134371">
            <w:proofErr w:type="spellStart"/>
            <w:r>
              <w:t>Logrank</w:t>
            </w:r>
            <w:proofErr w:type="spellEnd"/>
            <w:r>
              <w:t xml:space="preserve"> expected events</w:t>
            </w:r>
          </w:p>
        </w:tc>
        <w:tc>
          <w:tcPr>
            <w:tcW w:w="1304" w:type="pct"/>
          </w:tcPr>
          <w:p w:rsidR="001D6BD1" w:rsidRDefault="001D6BD1" w:rsidP="00134371"/>
        </w:tc>
        <w:tc>
          <w:tcPr>
            <w:tcW w:w="1107" w:type="pct"/>
          </w:tcPr>
          <w:p w:rsidR="001D6BD1" w:rsidRDefault="001D6BD1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proofErr w:type="spellStart"/>
            <w:r>
              <w:t>Logrank</w:t>
            </w:r>
            <w:proofErr w:type="spellEnd"/>
            <w:r>
              <w:t xml:space="preserve"> Variance (V)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proofErr w:type="spellStart"/>
            <w:r>
              <w:t>Logrank</w:t>
            </w:r>
            <w:proofErr w:type="spellEnd"/>
            <w:r>
              <w:t xml:space="preserve"> observed minus expected events (O-E)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HR, CI (with level e.g. 95%) or standard error or variance (specify method e.g. Cox model)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 xml:space="preserve">Test statistic, 2-sided p-value and name of test (e.g. </w:t>
            </w:r>
            <w:proofErr w:type="spellStart"/>
            <w:r>
              <w:t>logrank</w:t>
            </w:r>
            <w:proofErr w:type="spellEnd"/>
            <w:r>
              <w:t>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Advantage to research or control?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7A4906">
            <w:r>
              <w:t>Actuarial or Kaplan Meier curves presented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Numbers at risk reported?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Follow-up details (minimum and maximum)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</w:tbl>
    <w:p w:rsidR="00EF1D04" w:rsidRDefault="00EF1D04" w:rsidP="00425F85">
      <w:pPr>
        <w:pStyle w:val="ListParagraph"/>
        <w:rPr>
          <w:b/>
          <w:i/>
          <w:u w:val="single"/>
        </w:rPr>
      </w:pPr>
    </w:p>
    <w:p w:rsidR="00EF1D04" w:rsidRPr="00EA6C69" w:rsidRDefault="00EF1D04" w:rsidP="00EF1D04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 w:rsidRPr="00EA6C69">
        <w:rPr>
          <w:b/>
          <w:i/>
          <w:u w:val="single"/>
        </w:rPr>
        <w:t>Survival curve estimates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  <w:gridCol w:w="770"/>
      </w:tblGrid>
      <w:tr w:rsidR="007A4906" w:rsidRPr="00EF1D04" w:rsidTr="007A4906"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582" w:type="dxa"/>
            <w:gridSpan w:val="9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Timepoint</w:t>
            </w:r>
            <w:proofErr w:type="spellEnd"/>
          </w:p>
        </w:tc>
      </w:tr>
      <w:tr w:rsidR="007A4906" w:rsidRPr="00EF1D04" w:rsidTr="007A4906">
        <w:tc>
          <w:tcPr>
            <w:tcW w:w="2694" w:type="dxa"/>
            <w:gridSpan w:val="2"/>
            <w:vMerge/>
            <w:tcBorders>
              <w:left w:val="nil"/>
            </w:tcBorders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  <w:r w:rsidRPr="00EF1D04">
              <w:rPr>
                <w:b/>
              </w:rPr>
              <w:t>0</w:t>
            </w:r>
          </w:p>
        </w:tc>
        <w:tc>
          <w:tcPr>
            <w:tcW w:w="709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EF1D04" w:rsidTr="007A4906">
        <w:tc>
          <w:tcPr>
            <w:tcW w:w="1418" w:type="dxa"/>
            <w:tcBorders>
              <w:bottom w:val="nil"/>
            </w:tcBorders>
          </w:tcPr>
          <w:p w:rsidR="00EF1D04" w:rsidRDefault="00EF1D04" w:rsidP="00EF1D04">
            <w:pPr>
              <w:pStyle w:val="ListParagraph"/>
              <w:ind w:left="0"/>
            </w:pPr>
            <w:r>
              <w:t xml:space="preserve">Survival </w:t>
            </w:r>
          </w:p>
        </w:tc>
        <w:tc>
          <w:tcPr>
            <w:tcW w:w="1276" w:type="dxa"/>
          </w:tcPr>
          <w:p w:rsidR="00EF1D04" w:rsidRDefault="00EF1D04" w:rsidP="00EF1D04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85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8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7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</w:tr>
      <w:tr w:rsidR="00EF1D04" w:rsidTr="007A4906">
        <w:tc>
          <w:tcPr>
            <w:tcW w:w="1418" w:type="dxa"/>
            <w:tcBorders>
              <w:top w:val="nil"/>
              <w:bottom w:val="single" w:sz="4" w:space="0" w:color="000000" w:themeColor="text1"/>
            </w:tcBorders>
          </w:tcPr>
          <w:p w:rsidR="00EF1D04" w:rsidRDefault="00EF1D04" w:rsidP="00EF1D04">
            <w:pPr>
              <w:pStyle w:val="ListParagraph"/>
              <w:ind w:left="0"/>
            </w:pPr>
            <w:r>
              <w:t>probability</w:t>
            </w:r>
          </w:p>
        </w:tc>
        <w:tc>
          <w:tcPr>
            <w:tcW w:w="1276" w:type="dxa"/>
          </w:tcPr>
          <w:p w:rsidR="00EF1D04" w:rsidRDefault="00EF1D04" w:rsidP="00EF1D04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5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8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7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</w:tr>
      <w:tr w:rsidR="00EF1D04" w:rsidTr="007A4906">
        <w:tc>
          <w:tcPr>
            <w:tcW w:w="1418" w:type="dxa"/>
            <w:tcBorders>
              <w:bottom w:val="nil"/>
            </w:tcBorders>
          </w:tcPr>
          <w:p w:rsidR="00EF1D04" w:rsidRDefault="00EF1D04" w:rsidP="00EF1D04">
            <w:pPr>
              <w:pStyle w:val="ListParagraph"/>
              <w:ind w:left="0"/>
            </w:pPr>
            <w:r>
              <w:t xml:space="preserve">Numbers </w:t>
            </w:r>
          </w:p>
        </w:tc>
        <w:tc>
          <w:tcPr>
            <w:tcW w:w="1276" w:type="dxa"/>
          </w:tcPr>
          <w:p w:rsidR="00EF1D04" w:rsidRDefault="00EF1D04" w:rsidP="00EF1D04">
            <w:pPr>
              <w:pStyle w:val="ListParagraph"/>
              <w:ind w:left="0"/>
            </w:pPr>
            <w:r>
              <w:t xml:space="preserve">Research </w:t>
            </w:r>
          </w:p>
        </w:tc>
        <w:tc>
          <w:tcPr>
            <w:tcW w:w="85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8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7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</w:tr>
      <w:tr w:rsidR="00EF1D04" w:rsidTr="007A4906">
        <w:tc>
          <w:tcPr>
            <w:tcW w:w="1418" w:type="dxa"/>
            <w:tcBorders>
              <w:top w:val="nil"/>
            </w:tcBorders>
          </w:tcPr>
          <w:p w:rsidR="00EF1D04" w:rsidRDefault="00EF1D04" w:rsidP="00EF1D04">
            <w:pPr>
              <w:pStyle w:val="ListParagraph"/>
              <w:ind w:left="0"/>
            </w:pPr>
            <w:r>
              <w:t>at risk*</w:t>
            </w:r>
          </w:p>
        </w:tc>
        <w:tc>
          <w:tcPr>
            <w:tcW w:w="1276" w:type="dxa"/>
          </w:tcPr>
          <w:p w:rsidR="00EF1D04" w:rsidRDefault="00EF1D04" w:rsidP="00EF1D04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5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8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09" w:type="dxa"/>
          </w:tcPr>
          <w:p w:rsidR="00EF1D04" w:rsidRDefault="00EF1D04" w:rsidP="00EF1D04">
            <w:pPr>
              <w:pStyle w:val="ListParagraph"/>
              <w:ind w:left="0"/>
            </w:pPr>
          </w:p>
        </w:tc>
        <w:tc>
          <w:tcPr>
            <w:tcW w:w="770" w:type="dxa"/>
          </w:tcPr>
          <w:p w:rsidR="00EF1D04" w:rsidRDefault="00EF1D04" w:rsidP="00EF1D04">
            <w:pPr>
              <w:pStyle w:val="ListParagraph"/>
              <w:ind w:left="0"/>
            </w:pPr>
          </w:p>
        </w:tc>
      </w:tr>
    </w:tbl>
    <w:p w:rsidR="00EF1D04" w:rsidRDefault="00EF1D04" w:rsidP="007A4906">
      <w:r>
        <w:t>*if given</w:t>
      </w:r>
    </w:p>
    <w:p w:rsidR="00425F85" w:rsidRPr="00425F85" w:rsidRDefault="00425F85" w:rsidP="00425F85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 w:rsidRPr="00425F85">
        <w:rPr>
          <w:b/>
          <w:i/>
          <w:u w:val="single"/>
        </w:rPr>
        <w:t>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46"/>
      </w:tblGrid>
      <w:tr w:rsidR="00C61FEE" w:rsidTr="00245A53">
        <w:trPr>
          <w:jc w:val="center"/>
        </w:trPr>
        <w:tc>
          <w:tcPr>
            <w:tcW w:w="2943" w:type="dxa"/>
          </w:tcPr>
          <w:p w:rsidR="00C61FEE" w:rsidRPr="0017190C" w:rsidRDefault="00C61FEE" w:rsidP="0017190C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  <w:p w:rsidR="00C61FEE" w:rsidRPr="0017190C" w:rsidRDefault="00C61FEE" w:rsidP="0017190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61FEE" w:rsidRDefault="00C61FEE" w:rsidP="0017190C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</w:tc>
        <w:tc>
          <w:tcPr>
            <w:tcW w:w="2126" w:type="dxa"/>
          </w:tcPr>
          <w:p w:rsidR="00C61FEE" w:rsidRPr="0017190C" w:rsidRDefault="00C61FEE" w:rsidP="001719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logHR</w:t>
            </w:r>
            <w:proofErr w:type="spellEnd"/>
          </w:p>
        </w:tc>
        <w:tc>
          <w:tcPr>
            <w:tcW w:w="2046" w:type="dxa"/>
          </w:tcPr>
          <w:p w:rsidR="00C61FEE" w:rsidRPr="0017190C" w:rsidRDefault="00C61FEE" w:rsidP="0017190C">
            <w:pPr>
              <w:jc w:val="center"/>
              <w:rPr>
                <w:b/>
              </w:rPr>
            </w:pPr>
            <w:r>
              <w:rPr>
                <w:b/>
              </w:rPr>
              <w:t>SE(</w:t>
            </w:r>
            <w:proofErr w:type="spellStart"/>
            <w:r>
              <w:rPr>
                <w:b/>
              </w:rPr>
              <w:t>logHR</w:t>
            </w:r>
            <w:proofErr w:type="spellEnd"/>
            <w:r>
              <w:rPr>
                <w:b/>
              </w:rPr>
              <w:t>)</w:t>
            </w:r>
          </w:p>
        </w:tc>
      </w:tr>
      <w:tr w:rsidR="00C61FEE" w:rsidTr="00245A53">
        <w:trPr>
          <w:jc w:val="center"/>
        </w:trPr>
        <w:tc>
          <w:tcPr>
            <w:tcW w:w="2943" w:type="dxa"/>
            <w:vAlign w:val="center"/>
          </w:tcPr>
          <w:p w:rsidR="008D6AF2" w:rsidRDefault="00C21533" w:rsidP="008D6AF2">
            <w:r>
              <w:t>Cox model HR with C</w:t>
            </w:r>
            <w:r w:rsidR="008D6AF2">
              <w:t>I</w:t>
            </w:r>
          </w:p>
          <w:p w:rsidR="00EA6C69" w:rsidRDefault="00EA6C69" w:rsidP="008D6AF2"/>
        </w:tc>
        <w:tc>
          <w:tcPr>
            <w:tcW w:w="2127" w:type="dxa"/>
            <w:vAlign w:val="center"/>
          </w:tcPr>
          <w:p w:rsidR="00C61FEE" w:rsidRDefault="00C61FEE"/>
        </w:tc>
        <w:tc>
          <w:tcPr>
            <w:tcW w:w="2126" w:type="dxa"/>
            <w:vAlign w:val="center"/>
          </w:tcPr>
          <w:p w:rsidR="00C61FEE" w:rsidRDefault="00C61FEE"/>
        </w:tc>
        <w:tc>
          <w:tcPr>
            <w:tcW w:w="2046" w:type="dxa"/>
            <w:vAlign w:val="center"/>
          </w:tcPr>
          <w:p w:rsidR="00C61FEE" w:rsidRDefault="00C61FEE"/>
        </w:tc>
      </w:tr>
      <w:tr w:rsidR="00C61FEE" w:rsidTr="00245A53">
        <w:trPr>
          <w:jc w:val="center"/>
        </w:trPr>
        <w:tc>
          <w:tcPr>
            <w:tcW w:w="2943" w:type="dxa"/>
            <w:vAlign w:val="center"/>
          </w:tcPr>
          <w:p w:rsidR="00C61FEE" w:rsidRDefault="00B40D37" w:rsidP="008D6AF2">
            <w:proofErr w:type="spellStart"/>
            <w:r>
              <w:t>L</w:t>
            </w:r>
            <w:r w:rsidR="00C21533">
              <w:t>ogrank</w:t>
            </w:r>
            <w:proofErr w:type="spellEnd"/>
            <w:r w:rsidR="00C61FEE">
              <w:t xml:space="preserve"> p-value</w:t>
            </w:r>
            <w:r w:rsidR="00C21533">
              <w:t xml:space="preserve"> with observed events</w:t>
            </w:r>
          </w:p>
        </w:tc>
        <w:tc>
          <w:tcPr>
            <w:tcW w:w="2127" w:type="dxa"/>
            <w:vAlign w:val="center"/>
          </w:tcPr>
          <w:p w:rsidR="00C61FEE" w:rsidRDefault="00C61FEE"/>
        </w:tc>
        <w:tc>
          <w:tcPr>
            <w:tcW w:w="2126" w:type="dxa"/>
            <w:vAlign w:val="center"/>
          </w:tcPr>
          <w:p w:rsidR="00C61FEE" w:rsidRDefault="00C61FEE"/>
        </w:tc>
        <w:tc>
          <w:tcPr>
            <w:tcW w:w="2046" w:type="dxa"/>
            <w:vAlign w:val="center"/>
          </w:tcPr>
          <w:p w:rsidR="00C61FEE" w:rsidRDefault="00C61FEE"/>
        </w:tc>
      </w:tr>
      <w:tr w:rsidR="00C61FEE" w:rsidTr="00245A53">
        <w:trPr>
          <w:jc w:val="center"/>
        </w:trPr>
        <w:tc>
          <w:tcPr>
            <w:tcW w:w="2943" w:type="dxa"/>
            <w:vAlign w:val="center"/>
          </w:tcPr>
          <w:p w:rsidR="00EA6C69" w:rsidRDefault="00C61FEE" w:rsidP="00D51B03">
            <w:r>
              <w:t>Kaplan Meier Curve</w:t>
            </w:r>
          </w:p>
          <w:p w:rsidR="00D51B03" w:rsidRDefault="00D51B03" w:rsidP="00D51B03"/>
        </w:tc>
        <w:tc>
          <w:tcPr>
            <w:tcW w:w="2127" w:type="dxa"/>
            <w:vAlign w:val="center"/>
          </w:tcPr>
          <w:p w:rsidR="00C61FEE" w:rsidRDefault="00C61FEE"/>
        </w:tc>
        <w:tc>
          <w:tcPr>
            <w:tcW w:w="2126" w:type="dxa"/>
            <w:vAlign w:val="center"/>
          </w:tcPr>
          <w:p w:rsidR="00C61FEE" w:rsidRDefault="00C61FEE"/>
        </w:tc>
        <w:tc>
          <w:tcPr>
            <w:tcW w:w="2046" w:type="dxa"/>
            <w:vAlign w:val="center"/>
          </w:tcPr>
          <w:p w:rsidR="00C61FEE" w:rsidRDefault="00C61FEE"/>
        </w:tc>
      </w:tr>
      <w:tr w:rsidR="00C61FEE" w:rsidTr="00245A53">
        <w:trPr>
          <w:jc w:val="center"/>
        </w:trPr>
        <w:tc>
          <w:tcPr>
            <w:tcW w:w="2943" w:type="dxa"/>
            <w:vAlign w:val="center"/>
          </w:tcPr>
          <w:p w:rsidR="00EA6C69" w:rsidRDefault="00C61FEE" w:rsidP="00D51B03">
            <w:r>
              <w:t>Other</w:t>
            </w:r>
          </w:p>
        </w:tc>
        <w:tc>
          <w:tcPr>
            <w:tcW w:w="2127" w:type="dxa"/>
            <w:vAlign w:val="center"/>
          </w:tcPr>
          <w:p w:rsidR="00C61FEE" w:rsidRDefault="00C61FEE"/>
        </w:tc>
        <w:tc>
          <w:tcPr>
            <w:tcW w:w="2126" w:type="dxa"/>
            <w:vAlign w:val="center"/>
          </w:tcPr>
          <w:p w:rsidR="00C61FEE" w:rsidRDefault="00C61FEE"/>
        </w:tc>
        <w:tc>
          <w:tcPr>
            <w:tcW w:w="2046" w:type="dxa"/>
            <w:vAlign w:val="center"/>
          </w:tcPr>
          <w:p w:rsidR="00C61FEE" w:rsidRDefault="00C61FEE"/>
        </w:tc>
      </w:tr>
    </w:tbl>
    <w:p w:rsidR="0010195D" w:rsidRDefault="0010195D" w:rsidP="00EA6C69"/>
    <w:sectPr w:rsidR="0010195D" w:rsidSect="00EA6C69">
      <w:pgSz w:w="11906" w:h="16838" w:code="9"/>
      <w:pgMar w:top="709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91"/>
    <w:multiLevelType w:val="hybridMultilevel"/>
    <w:tmpl w:val="AD0A0D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2A2"/>
    <w:multiLevelType w:val="hybridMultilevel"/>
    <w:tmpl w:val="E99C9B6C"/>
    <w:lvl w:ilvl="0" w:tplc="F1260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A0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3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67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A7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E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05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C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285724"/>
    <w:multiLevelType w:val="hybridMultilevel"/>
    <w:tmpl w:val="9612D92A"/>
    <w:lvl w:ilvl="0" w:tplc="9DB473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748C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16BE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F8D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A833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743C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7C5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3E48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1C7E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195D"/>
    <w:rsid w:val="000E1581"/>
    <w:rsid w:val="000E5658"/>
    <w:rsid w:val="0010195D"/>
    <w:rsid w:val="00130D07"/>
    <w:rsid w:val="0017190C"/>
    <w:rsid w:val="001B683E"/>
    <w:rsid w:val="001C5EEA"/>
    <w:rsid w:val="001D6BD1"/>
    <w:rsid w:val="00245A53"/>
    <w:rsid w:val="0029150C"/>
    <w:rsid w:val="003B6049"/>
    <w:rsid w:val="003E5DCB"/>
    <w:rsid w:val="00425F85"/>
    <w:rsid w:val="004D455D"/>
    <w:rsid w:val="00534231"/>
    <w:rsid w:val="00615D0A"/>
    <w:rsid w:val="0067509E"/>
    <w:rsid w:val="006B04ED"/>
    <w:rsid w:val="006B1F21"/>
    <w:rsid w:val="007004F2"/>
    <w:rsid w:val="007929A4"/>
    <w:rsid w:val="0079359E"/>
    <w:rsid w:val="007A4906"/>
    <w:rsid w:val="007A56F1"/>
    <w:rsid w:val="007B7CED"/>
    <w:rsid w:val="00855BF8"/>
    <w:rsid w:val="0086177D"/>
    <w:rsid w:val="008D6AF2"/>
    <w:rsid w:val="00A20928"/>
    <w:rsid w:val="00A924D8"/>
    <w:rsid w:val="00B40D37"/>
    <w:rsid w:val="00C21533"/>
    <w:rsid w:val="00C61FEE"/>
    <w:rsid w:val="00C71604"/>
    <w:rsid w:val="00D51B03"/>
    <w:rsid w:val="00DB1668"/>
    <w:rsid w:val="00DD5EE8"/>
    <w:rsid w:val="00E346A1"/>
    <w:rsid w:val="00E9336F"/>
    <w:rsid w:val="00EA6C69"/>
    <w:rsid w:val="00EF1D04"/>
    <w:rsid w:val="00F047DD"/>
    <w:rsid w:val="00FA428F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3DB7D-4E22-456E-8539-402CB34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Bold" w:eastAsiaTheme="minorHAnsi" w:hAnsi="Times New Roman Bold" w:cs="Arial"/>
        <w:b/>
        <w:bCs/>
        <w:caps/>
        <w:kern w:val="24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F8"/>
    <w:rPr>
      <w:rFonts w:asciiTheme="minorHAnsi" w:hAnsiTheme="minorHAnsi"/>
      <w:b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5D"/>
    <w:rPr>
      <w:rFonts w:ascii="Tahoma" w:hAnsi="Tahoma" w:cs="Tahoma"/>
      <w:b w:val="0"/>
      <w:caps w:val="0"/>
      <w:sz w:val="16"/>
      <w:szCs w:val="16"/>
    </w:rPr>
  </w:style>
  <w:style w:type="table" w:styleId="TableGrid">
    <w:name w:val="Table Grid"/>
    <w:basedOn w:val="TableNormal"/>
    <w:uiPriority w:val="59"/>
    <w:rsid w:val="00101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5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dcentral.com/content/supplementary/1745-6215-8-16-S1.xls" TargetMode="External"/><Relationship Id="rId5" Type="http://schemas.openxmlformats.org/officeDocument/2006/relationships/hyperlink" Target="http://www.biomedcentral.com/content/supplementary/1745-6215-8-16-S1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Tudur Smith</dc:creator>
  <cp:keywords/>
  <dc:description/>
  <cp:lastModifiedBy>Tudur Smith, Catrin</cp:lastModifiedBy>
  <cp:revision>17</cp:revision>
  <cp:lastPrinted>2010-02-23T11:07:00Z</cp:lastPrinted>
  <dcterms:created xsi:type="dcterms:W3CDTF">2010-02-23T13:41:00Z</dcterms:created>
  <dcterms:modified xsi:type="dcterms:W3CDTF">2018-07-03T08:05:00Z</dcterms:modified>
</cp:coreProperties>
</file>