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433C3" w:rsidTr="00B433C3">
        <w:tc>
          <w:tcPr>
            <w:tcW w:w="9242" w:type="dxa"/>
          </w:tcPr>
          <w:p w:rsidR="002B32D6" w:rsidRDefault="00B433C3" w:rsidP="002B32D6">
            <w:r>
              <w:rPr>
                <w:b/>
              </w:rPr>
              <w:t>PLEASE NOTE: This document was used as a plan at the start of the process. As the project progressed</w:t>
            </w:r>
            <w:r w:rsidR="00B93630">
              <w:rPr>
                <w:b/>
              </w:rPr>
              <w:t>,</w:t>
            </w:r>
            <w:r>
              <w:rPr>
                <w:b/>
              </w:rPr>
              <w:t xml:space="preserve"> changes were made based on steering group feedback and in response to the broad nature of the priorities the group was generating</w:t>
            </w:r>
            <w:r w:rsidR="00B93630">
              <w:rPr>
                <w:b/>
              </w:rPr>
              <w:t>.</w:t>
            </w:r>
            <w:r w:rsidR="002B32D6">
              <w:rPr>
                <w:b/>
              </w:rPr>
              <w:t xml:space="preserve"> </w:t>
            </w:r>
            <w:r w:rsidR="002B32D6" w:rsidRPr="002B32D6">
              <w:rPr>
                <w:b/>
              </w:rPr>
              <w:t xml:space="preserve">To learn more about the final approach that was used, you can read the publications about this project on the </w:t>
            </w:r>
            <w:hyperlink r:id="rId8" w:history="1">
              <w:r w:rsidR="002B32D6" w:rsidRPr="002B32D6">
                <w:rPr>
                  <w:rStyle w:val="Hyperlink"/>
                  <w:b/>
                </w:rPr>
                <w:t>Centre for Health Communication and Participation’s priority setting webpage</w:t>
              </w:r>
            </w:hyperlink>
            <w:bookmarkStart w:id="0" w:name="_GoBack"/>
            <w:bookmarkEnd w:id="0"/>
            <w:r w:rsidR="002B32D6" w:rsidRPr="002B32D6">
              <w:rPr>
                <w:b/>
              </w:rPr>
              <w:t>.</w:t>
            </w:r>
          </w:p>
          <w:p w:rsidR="00B433C3" w:rsidRDefault="00B433C3" w:rsidP="004A5E43">
            <w:pPr>
              <w:rPr>
                <w:b/>
              </w:rPr>
            </w:pPr>
          </w:p>
        </w:tc>
      </w:tr>
    </w:tbl>
    <w:p w:rsidR="00B433C3" w:rsidRDefault="00B433C3" w:rsidP="004A5E43">
      <w:pPr>
        <w:rPr>
          <w:b/>
        </w:rPr>
      </w:pPr>
    </w:p>
    <w:p w:rsidR="00F56011" w:rsidRPr="00940E02" w:rsidRDefault="0066399D" w:rsidP="004A5E43">
      <w:pPr>
        <w:rPr>
          <w:b/>
        </w:rPr>
      </w:pPr>
      <w:r>
        <w:rPr>
          <w:b/>
        </w:rPr>
        <w:t xml:space="preserve">Consumers and Communication: </w:t>
      </w:r>
      <w:r w:rsidR="00940E02">
        <w:rPr>
          <w:b/>
        </w:rPr>
        <w:t>Cochrane Review prioritisation project</w:t>
      </w:r>
      <w:r w:rsidR="006278C6">
        <w:rPr>
          <w:b/>
        </w:rPr>
        <w:t xml:space="preserve"> </w:t>
      </w:r>
      <w:r>
        <w:rPr>
          <w:b/>
        </w:rPr>
        <w:t>outline</w:t>
      </w:r>
    </w:p>
    <w:p w:rsidR="00867F64" w:rsidRDefault="004A5E43" w:rsidP="00867F64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hyperlink r:id="rId9" w:history="1">
        <w:r w:rsidRPr="004A5E43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Cochrane Consumers and Communication Review Group</w:t>
        </w:r>
      </w:hyperlink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(CC&amp;CRG) </w:t>
      </w:r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>is part of the international Cochrane Col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laboration. T</w:t>
      </w:r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Group</w:t>
      </w:r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coordinates the preparation and publication of systematic reviews of interventions </w:t>
      </w:r>
      <w:r w:rsidR="0060136B">
        <w:rPr>
          <w:rFonts w:asciiTheme="minorHAnsi" w:eastAsiaTheme="minorHAnsi" w:hAnsiTheme="minorHAnsi" w:cstheme="minorBidi"/>
          <w:sz w:val="22"/>
          <w:szCs w:val="22"/>
          <w:lang w:eastAsia="en-US"/>
        </w:rPr>
        <w:t>that</w:t>
      </w:r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affect the way people interact with healthcare professionals, services and researchers.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Group operates within the </w:t>
      </w:r>
      <w:hyperlink r:id="rId10" w:history="1">
        <w:r w:rsidRPr="004A5E43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Centre for Health Communication and Participation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A5E43">
        <w:rPr>
          <w:rFonts w:asciiTheme="minorHAnsi" w:eastAsiaTheme="minorHAnsi" w:hAnsiTheme="minorHAnsi" w:cstheme="minorBidi"/>
          <w:sz w:val="22"/>
          <w:szCs w:val="22"/>
          <w:lang w:eastAsia="en-US"/>
        </w:rPr>
        <w:t>based at La Trobe University, Melbourne. </w:t>
      </w:r>
    </w:p>
    <w:p w:rsidR="00104F90" w:rsidRDefault="00ED5A64" w:rsidP="00867F64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The strategic focus of the Centre includes</w:t>
      </w:r>
      <w:r w:rsidR="00104F90">
        <w:rPr>
          <w:rFonts w:asciiTheme="minorHAnsi" w:hAnsiTheme="minorHAnsi" w:cstheme="minorBidi"/>
          <w:sz w:val="22"/>
          <w:szCs w:val="22"/>
        </w:rPr>
        <w:t>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</w:p>
    <w:p w:rsidR="00104F90" w:rsidRDefault="00ED5A64" w:rsidP="00F4457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building the evidence for interventions for communication and participation </w:t>
      </w:r>
    </w:p>
    <w:p w:rsidR="00104F90" w:rsidRDefault="00ED5A64" w:rsidP="00F4457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working with consumer and carer groups, clinicians and policy-makers </w:t>
      </w:r>
      <w:r w:rsidR="004D4163">
        <w:rPr>
          <w:rFonts w:asciiTheme="minorHAnsi" w:hAnsiTheme="minorHAnsi" w:cstheme="minorBidi"/>
          <w:sz w:val="22"/>
          <w:szCs w:val="22"/>
        </w:rPr>
        <w:t>to increase</w:t>
      </w:r>
      <w:r>
        <w:rPr>
          <w:rFonts w:asciiTheme="minorHAnsi" w:hAnsiTheme="minorHAnsi" w:cstheme="minorBidi"/>
          <w:sz w:val="22"/>
          <w:szCs w:val="22"/>
        </w:rPr>
        <w:t xml:space="preserve"> awareness of and skills in evidence-based research</w:t>
      </w:r>
      <w:r w:rsidR="004D4163">
        <w:rPr>
          <w:rFonts w:asciiTheme="minorHAnsi" w:hAnsiTheme="minorHAnsi" w:cstheme="minorBidi"/>
          <w:sz w:val="22"/>
          <w:szCs w:val="22"/>
        </w:rPr>
        <w:t xml:space="preserve"> and practice</w:t>
      </w:r>
      <w:r>
        <w:rPr>
          <w:rFonts w:asciiTheme="minorHAnsi" w:hAnsiTheme="minorHAnsi" w:cstheme="minorBidi"/>
          <w:sz w:val="22"/>
          <w:szCs w:val="22"/>
        </w:rPr>
        <w:t xml:space="preserve">.  </w:t>
      </w:r>
    </w:p>
    <w:p w:rsidR="00867F64" w:rsidRDefault="00ED5A64" w:rsidP="00867F64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We also have a strategic commitment to ensur</w:t>
      </w:r>
      <w:r w:rsidR="00104F90">
        <w:rPr>
          <w:rFonts w:asciiTheme="minorHAnsi" w:hAnsiTheme="minorHAnsi" w:cstheme="minorBidi"/>
          <w:sz w:val="22"/>
          <w:szCs w:val="22"/>
        </w:rPr>
        <w:t>ing</w:t>
      </w:r>
      <w:r>
        <w:rPr>
          <w:rFonts w:asciiTheme="minorHAnsi" w:hAnsiTheme="minorHAnsi" w:cstheme="minorBidi"/>
          <w:sz w:val="22"/>
          <w:szCs w:val="22"/>
        </w:rPr>
        <w:t xml:space="preserve"> the Centre is responsive to the issues and problems associated with consumer engagement in health.</w:t>
      </w:r>
    </w:p>
    <w:p w:rsidR="00F56011" w:rsidRDefault="004D4163" w:rsidP="00F56011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rFonts w:asciiTheme="minorHAnsi" w:hAnsiTheme="minorHAnsi" w:cstheme="minorBidi"/>
          <w:sz w:val="22"/>
          <w:szCs w:val="22"/>
        </w:rPr>
        <w:t>With this in mind, and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to ensure we produce reviews that are of the highest relevance to our stakeholders, we are undertaking a research priority-setting activity in 2015. </w:t>
      </w:r>
      <w:r w:rsidR="00F92ACE">
        <w:rPr>
          <w:rFonts w:asciiTheme="minorHAnsi" w:hAnsiTheme="minorHAnsi" w:cstheme="minorBidi"/>
          <w:sz w:val="22"/>
          <w:szCs w:val="22"/>
        </w:rPr>
        <w:t xml:space="preserve">Using established research priority-setting frameworks, the project has </w:t>
      </w:r>
      <w:r w:rsidR="00F567DA">
        <w:rPr>
          <w:rFonts w:asciiTheme="minorHAnsi" w:hAnsiTheme="minorHAnsi" w:cstheme="minorBidi"/>
          <w:sz w:val="22"/>
          <w:szCs w:val="22"/>
        </w:rPr>
        <w:t>two aims:</w:t>
      </w:r>
    </w:p>
    <w:p w:rsidR="00F56011" w:rsidRDefault="00F567DA" w:rsidP="00F445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To identify priority topics for systematic reviews of interventions for communication and participation</w:t>
      </w:r>
      <w:r w:rsidR="00215D31">
        <w:rPr>
          <w:rFonts w:asciiTheme="minorHAnsi" w:hAnsiTheme="minorHAnsi" w:cstheme="minorBidi"/>
          <w:sz w:val="22"/>
          <w:szCs w:val="22"/>
        </w:rPr>
        <w:t xml:space="preserve"> as judged by Australian and international stakeholders</w:t>
      </w:r>
      <w:r w:rsidR="00F56011">
        <w:rPr>
          <w:rFonts w:asciiTheme="minorHAnsi" w:hAnsiTheme="minorHAnsi" w:cstheme="minorBidi"/>
          <w:sz w:val="22"/>
          <w:szCs w:val="22"/>
        </w:rPr>
        <w:t>.</w:t>
      </w:r>
    </w:p>
    <w:p w:rsidR="00F567DA" w:rsidRPr="00F56011" w:rsidRDefault="00F567DA" w:rsidP="00F445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</w:rPr>
        <w:t xml:space="preserve">To identify the top </w:t>
      </w:r>
      <w:r w:rsidR="00867F64">
        <w:rPr>
          <w:rFonts w:asciiTheme="minorHAnsi" w:hAnsiTheme="minorHAnsi" w:cstheme="minorBidi"/>
          <w:sz w:val="22"/>
          <w:szCs w:val="22"/>
        </w:rPr>
        <w:t>five</w:t>
      </w:r>
      <w:r>
        <w:rPr>
          <w:rFonts w:asciiTheme="minorHAnsi" w:hAnsiTheme="minorHAnsi" w:cstheme="minorBidi"/>
          <w:sz w:val="22"/>
          <w:szCs w:val="22"/>
        </w:rPr>
        <w:t xml:space="preserve"> Australian priorities</w:t>
      </w:r>
      <w:r w:rsidR="00867F64">
        <w:rPr>
          <w:rFonts w:asciiTheme="minorHAnsi" w:hAnsiTheme="minorHAnsi" w:cstheme="minorBidi"/>
          <w:sz w:val="22"/>
          <w:szCs w:val="22"/>
        </w:rPr>
        <w:t>,</w:t>
      </w:r>
      <w:r w:rsidR="001462EE">
        <w:rPr>
          <w:rFonts w:asciiTheme="minorHAnsi" w:hAnsiTheme="minorHAnsi" w:cstheme="minorBidi"/>
          <w:sz w:val="22"/>
          <w:szCs w:val="22"/>
        </w:rPr>
        <w:t xml:space="preserve"> for new</w:t>
      </w:r>
      <w:r w:rsidR="00867F64">
        <w:rPr>
          <w:rFonts w:asciiTheme="minorHAnsi" w:hAnsiTheme="minorHAnsi" w:cstheme="minorBidi"/>
          <w:sz w:val="22"/>
          <w:szCs w:val="22"/>
        </w:rPr>
        <w:t xml:space="preserve"> Cochrane reviews</w:t>
      </w:r>
      <w:r w:rsidR="001462EE">
        <w:rPr>
          <w:rFonts w:asciiTheme="minorHAnsi" w:hAnsiTheme="minorHAnsi" w:cstheme="minorBidi"/>
          <w:sz w:val="22"/>
          <w:szCs w:val="22"/>
        </w:rPr>
        <w:t xml:space="preserve"> within the scope of the CC&amp;CRG</w:t>
      </w:r>
      <w:r>
        <w:rPr>
          <w:rFonts w:asciiTheme="minorHAnsi" w:hAnsiTheme="minorHAnsi" w:cstheme="minorBidi"/>
          <w:sz w:val="22"/>
          <w:szCs w:val="22"/>
        </w:rPr>
        <w:t>.</w:t>
      </w:r>
    </w:p>
    <w:p w:rsidR="00986106" w:rsidRDefault="00986106" w:rsidP="00247C03">
      <w:r w:rsidRPr="00867F64">
        <w:t xml:space="preserve">This project will be led by Annie Synnot, Research Fellow at the Centre for Health Communication and Participation, joined by Sophie Hill, </w:t>
      </w:r>
      <w:r w:rsidR="00867F64">
        <w:t>H</w:t>
      </w:r>
      <w:r w:rsidRPr="00867F64">
        <w:t xml:space="preserve">ead of the Centre and Coordinating Editor of the CC&amp;CRG, and Molly O’Sullivan, a La Trobe postgraduate student. </w:t>
      </w:r>
    </w:p>
    <w:p w:rsidR="00F56011" w:rsidRPr="00867F64" w:rsidRDefault="00F4457F" w:rsidP="00247C03">
      <w:r>
        <w:t xml:space="preserve">This outline sets out the seven stages of the </w:t>
      </w:r>
      <w:r w:rsidRPr="00247C03">
        <w:t>10-month project.</w:t>
      </w:r>
    </w:p>
    <w:p w:rsidR="00940E02" w:rsidRPr="00940E02" w:rsidRDefault="00940E02" w:rsidP="00940E02">
      <w:pPr>
        <w:pStyle w:val="ListParagraph"/>
        <w:numPr>
          <w:ilvl w:val="0"/>
          <w:numId w:val="2"/>
        </w:numPr>
        <w:rPr>
          <w:b/>
        </w:rPr>
      </w:pPr>
      <w:r w:rsidRPr="00940E02">
        <w:rPr>
          <w:b/>
        </w:rPr>
        <w:t>Convene steering group</w:t>
      </w:r>
    </w:p>
    <w:p w:rsidR="00940E02" w:rsidRDefault="00247C03">
      <w:r>
        <w:t>Members: CC&amp;CRG</w:t>
      </w:r>
      <w:r w:rsidR="00940E02">
        <w:t>,</w:t>
      </w:r>
      <w:r>
        <w:t xml:space="preserve"> representatives from consumer groups or committees</w:t>
      </w:r>
      <w:r w:rsidR="00940E02">
        <w:t>, health service staff</w:t>
      </w:r>
      <w:r w:rsidR="00DC7A10">
        <w:t>, re</w:t>
      </w:r>
      <w:r>
        <w:t>searchers, policy makers (including Victorian Department of Health staff) (&lt; 15</w:t>
      </w:r>
      <w:r w:rsidR="00940E02">
        <w:t xml:space="preserve"> members)</w:t>
      </w:r>
    </w:p>
    <w:p w:rsidR="005D7071" w:rsidRDefault="00247C03" w:rsidP="005D7071">
      <w:r>
        <w:t>Timeframe: March</w:t>
      </w:r>
      <w:r w:rsidR="005D7071">
        <w:t xml:space="preserve"> 2015</w:t>
      </w:r>
    </w:p>
    <w:p w:rsidR="00F56011" w:rsidRDefault="00F56011" w:rsidP="005D7071"/>
    <w:p w:rsidR="00940E02" w:rsidRPr="00940E02" w:rsidRDefault="00940E02" w:rsidP="00940E02">
      <w:pPr>
        <w:pStyle w:val="ListParagraph"/>
        <w:numPr>
          <w:ilvl w:val="0"/>
          <w:numId w:val="2"/>
        </w:numPr>
        <w:rPr>
          <w:b/>
        </w:rPr>
      </w:pPr>
      <w:r w:rsidRPr="00940E02">
        <w:rPr>
          <w:b/>
        </w:rPr>
        <w:lastRenderedPageBreak/>
        <w:t>Define the scope</w:t>
      </w:r>
    </w:p>
    <w:p w:rsidR="00940E02" w:rsidRDefault="00940E02" w:rsidP="00940E02">
      <w:r>
        <w:t xml:space="preserve">Stakeholders: </w:t>
      </w:r>
      <w:r w:rsidR="00D75C53">
        <w:t>CC&amp;CRG, s</w:t>
      </w:r>
      <w:r>
        <w:t>teering group</w:t>
      </w:r>
    </w:p>
    <w:p w:rsidR="0060136B" w:rsidRDefault="00940E02" w:rsidP="00940E02">
      <w:r>
        <w:t>Process:</w:t>
      </w:r>
      <w:r w:rsidR="003D3B5B">
        <w:t xml:space="preserve"> </w:t>
      </w:r>
      <w:r w:rsidR="00986106">
        <w:t xml:space="preserve">The following methods will be used to </w:t>
      </w:r>
      <w:r w:rsidR="005D1ECD">
        <w:t xml:space="preserve">by the steering group to </w:t>
      </w:r>
      <w:r w:rsidR="00986106">
        <w:t>categorise and confirm broad topic areas within the CC&amp;CRG scope on which to focus the prioritisation exercise:</w:t>
      </w:r>
    </w:p>
    <w:p w:rsidR="0060136B" w:rsidRDefault="0060136B" w:rsidP="005D1ECD">
      <w:pPr>
        <w:pStyle w:val="ListParagraph"/>
        <w:numPr>
          <w:ilvl w:val="0"/>
          <w:numId w:val="5"/>
        </w:numPr>
      </w:pPr>
      <w:r>
        <w:t>Scan</w:t>
      </w:r>
      <w:r w:rsidR="005D1ECD">
        <w:t xml:space="preserve"> of relevant</w:t>
      </w:r>
      <w:r>
        <w:t xml:space="preserve"> </w:t>
      </w:r>
      <w:r w:rsidR="007D5C13">
        <w:t>p</w:t>
      </w:r>
      <w:r w:rsidR="003D3B5B">
        <w:t>olicy document</w:t>
      </w:r>
      <w:r>
        <w:t>s</w:t>
      </w:r>
    </w:p>
    <w:p w:rsidR="0060136B" w:rsidRDefault="00986106" w:rsidP="005D1ECD">
      <w:pPr>
        <w:pStyle w:val="ListParagraph"/>
        <w:numPr>
          <w:ilvl w:val="0"/>
          <w:numId w:val="5"/>
        </w:numPr>
      </w:pPr>
      <w:r>
        <w:t xml:space="preserve">develop an </w:t>
      </w:r>
      <w:r w:rsidR="007D5C13">
        <w:t>evidence map of recent trials</w:t>
      </w:r>
      <w:r w:rsidR="00C8679B">
        <w:t xml:space="preserve"> conducted within consumers and communication topics</w:t>
      </w:r>
    </w:p>
    <w:p w:rsidR="005D1ECD" w:rsidRDefault="00C8679B" w:rsidP="005D1ECD">
      <w:pPr>
        <w:pStyle w:val="ListParagraph"/>
        <w:numPr>
          <w:ilvl w:val="0"/>
          <w:numId w:val="5"/>
        </w:numPr>
      </w:pPr>
      <w:r>
        <w:t>identif</w:t>
      </w:r>
      <w:r w:rsidR="0060136B">
        <w:t>y</w:t>
      </w:r>
      <w:r w:rsidR="005D7071">
        <w:t xml:space="preserve"> </w:t>
      </w:r>
      <w:r>
        <w:t>the questions related to consumers and communication in</w:t>
      </w:r>
      <w:r w:rsidR="00544911">
        <w:t xml:space="preserve"> published research priority setting exercises</w:t>
      </w:r>
    </w:p>
    <w:p w:rsidR="005D7071" w:rsidRDefault="005D7071" w:rsidP="00940E02">
      <w:r>
        <w:t>Timeframe:</w:t>
      </w:r>
      <w:r w:rsidR="00790BD1">
        <w:t xml:space="preserve"> March - April</w:t>
      </w:r>
      <w:r>
        <w:t xml:space="preserve"> 2015</w:t>
      </w:r>
    </w:p>
    <w:p w:rsidR="00F56011" w:rsidRDefault="00F56011" w:rsidP="00940E02"/>
    <w:p w:rsidR="00867F64" w:rsidRPr="00F56011" w:rsidRDefault="00867F64" w:rsidP="00940E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Generate a </w:t>
      </w:r>
      <w:r w:rsidR="004000FE">
        <w:rPr>
          <w:b/>
        </w:rPr>
        <w:t xml:space="preserve">broad </w:t>
      </w:r>
      <w:r>
        <w:rPr>
          <w:b/>
        </w:rPr>
        <w:t xml:space="preserve">list of research priorities </w:t>
      </w:r>
    </w:p>
    <w:p w:rsidR="00867F64" w:rsidRDefault="00867F64" w:rsidP="00867F64">
      <w:r>
        <w:t>Stakeholders: Victorian, Australian and international policy makers, consumers, health service staff, researchers and clinicians.</w:t>
      </w:r>
    </w:p>
    <w:p w:rsidR="00867F64" w:rsidRDefault="00867F64" w:rsidP="00940E02">
      <w:r>
        <w:t>Process: Widely disseminate an online survey to Australian and interna</w:t>
      </w:r>
      <w:r w:rsidR="005D1ECD">
        <w:t>tional audiences inviting them</w:t>
      </w:r>
      <w:r>
        <w:t xml:space="preserve"> to nominate the topics/questions they would most like to see answered in systematic reviews of interventions</w:t>
      </w:r>
      <w:r w:rsidR="007B54B9">
        <w:t xml:space="preserve"> </w:t>
      </w:r>
      <w:proofErr w:type="gramStart"/>
      <w:r w:rsidR="007B54B9">
        <w:t>in the area of</w:t>
      </w:r>
      <w:proofErr w:type="gramEnd"/>
      <w:r w:rsidR="007B54B9">
        <w:t xml:space="preserve"> consumers and communication</w:t>
      </w:r>
      <w:r>
        <w:t>.  We anticipate this process may identify several hundred potential review questions.</w:t>
      </w:r>
      <w:r w:rsidR="007B54B9">
        <w:t xml:space="preserve"> The CC&amp;CRG project team will collate these questions and ensure they are posed as answerable questions. With input from the steering group the question list will be reduced to a manageable number for the prioritisation workshop </w:t>
      </w:r>
      <w:r w:rsidR="00215D31">
        <w:t xml:space="preserve">using explicit criteria </w:t>
      </w:r>
      <w:r w:rsidR="007B54B9">
        <w:t>(</w:t>
      </w:r>
      <w:r w:rsidR="002025BB">
        <w:t xml:space="preserve">reducing to </w:t>
      </w:r>
      <w:r w:rsidR="007B54B9">
        <w:t>approximately 100 or less).</w:t>
      </w:r>
    </w:p>
    <w:p w:rsidR="005D7071" w:rsidRDefault="005D7071" w:rsidP="00940E02">
      <w:r>
        <w:t>Timeframe:</w:t>
      </w:r>
      <w:r w:rsidR="00790BD1">
        <w:t xml:space="preserve"> May</w:t>
      </w:r>
      <w:r w:rsidR="001462EE">
        <w:t xml:space="preserve"> - June</w:t>
      </w:r>
      <w:r>
        <w:t xml:space="preserve"> 2015</w:t>
      </w:r>
    </w:p>
    <w:p w:rsidR="00F56011" w:rsidRDefault="00F56011" w:rsidP="00940E02"/>
    <w:p w:rsidR="00867F64" w:rsidRPr="00F56011" w:rsidRDefault="00B5270E" w:rsidP="00867F6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Prioritise potential Cochrane Review</w:t>
      </w:r>
      <w:r w:rsidR="00940E02" w:rsidRPr="00940E02">
        <w:rPr>
          <w:b/>
        </w:rPr>
        <w:t xml:space="preserve"> topics</w:t>
      </w:r>
    </w:p>
    <w:p w:rsidR="00867F64" w:rsidRDefault="00867F64" w:rsidP="00867F64">
      <w:r>
        <w:t xml:space="preserve">Stakeholders:  </w:t>
      </w:r>
      <w:r w:rsidR="007B54B9">
        <w:t xml:space="preserve">Victorian and Australian </w:t>
      </w:r>
      <w:r>
        <w:t>policy makers, consumers, health service staff, researchers and clinicians</w:t>
      </w:r>
    </w:p>
    <w:p w:rsidR="00867F64" w:rsidRDefault="00867F64" w:rsidP="00940E02">
      <w:r>
        <w:t xml:space="preserve">Process: </w:t>
      </w:r>
      <w:r w:rsidR="007B54B9">
        <w:t xml:space="preserve">Approximately 30 people will be invited to attend a prioritisation workshop to be held in Melbourne. </w:t>
      </w:r>
      <w:r>
        <w:t xml:space="preserve">Using a process based on the nominal group technique, attendees will be asked to </w:t>
      </w:r>
      <w:r w:rsidR="007B54B9">
        <w:t>refine and prioritise the list of</w:t>
      </w:r>
      <w:r w:rsidR="00CF04C7">
        <w:t xml:space="preserve"> </w:t>
      </w:r>
      <w:r>
        <w:t>potential Cochrane review topics and questions</w:t>
      </w:r>
      <w:r w:rsidR="007B54B9">
        <w:t xml:space="preserve"> into a shorter list (approximately </w:t>
      </w:r>
      <w:r w:rsidR="003530DA">
        <w:t>10</w:t>
      </w:r>
      <w:r w:rsidR="007B54B9">
        <w:t>)</w:t>
      </w:r>
      <w:r>
        <w:t>.</w:t>
      </w:r>
      <w:r w:rsidR="001462EE">
        <w:t xml:space="preserve"> </w:t>
      </w:r>
    </w:p>
    <w:p w:rsidR="005D7071" w:rsidRDefault="005D7071" w:rsidP="00940E02">
      <w:r>
        <w:t>Timeframe:</w:t>
      </w:r>
      <w:r w:rsidR="00790BD1">
        <w:t xml:space="preserve"> July</w:t>
      </w:r>
      <w:r>
        <w:t xml:space="preserve"> 2015</w:t>
      </w:r>
    </w:p>
    <w:p w:rsidR="00F56011" w:rsidRDefault="00F56011" w:rsidP="00940E02"/>
    <w:p w:rsidR="00940E02" w:rsidRPr="00940E02" w:rsidRDefault="00D75C53" w:rsidP="00940E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Identify evidence gaps</w:t>
      </w:r>
    </w:p>
    <w:p w:rsidR="00940E02" w:rsidRDefault="00940E02" w:rsidP="00940E02">
      <w:r>
        <w:t>Stakeholders: CC&amp;CRG staff</w:t>
      </w:r>
    </w:p>
    <w:p w:rsidR="00940E02" w:rsidRDefault="00940E02" w:rsidP="00940E02">
      <w:r>
        <w:lastRenderedPageBreak/>
        <w:t>Process:</w:t>
      </w:r>
      <w:r w:rsidR="00D75C53">
        <w:t xml:space="preserve"> </w:t>
      </w:r>
      <w:r w:rsidR="004B7E53">
        <w:t>For each of the top 1</w:t>
      </w:r>
      <w:r w:rsidR="006278C6">
        <w:t xml:space="preserve">0 questions, we will conduct a thorough search of the evidence that exists to answer that question (i.e. Cochrane reviews, systematic reviews and </w:t>
      </w:r>
      <w:r w:rsidR="00140F4D">
        <w:t>primary research</w:t>
      </w:r>
      <w:r w:rsidR="006278C6">
        <w:t>). We will create an evidence map for each question and, using a specially developed decision matrix, we will recommend whether each question is appropriate for a Cochrane revie</w:t>
      </w:r>
      <w:r w:rsidR="00247C03">
        <w:t>w, or not</w:t>
      </w:r>
      <w:r w:rsidR="007A35E5">
        <w:t>.</w:t>
      </w:r>
    </w:p>
    <w:p w:rsidR="005D7071" w:rsidRDefault="005D7071" w:rsidP="00940E02">
      <w:r>
        <w:t>Timeframe:</w:t>
      </w:r>
      <w:r w:rsidR="00790BD1">
        <w:t xml:space="preserve"> August</w:t>
      </w:r>
      <w:r w:rsidR="001462EE">
        <w:t>-September</w:t>
      </w:r>
      <w:r w:rsidR="00790BD1">
        <w:t xml:space="preserve"> 2015</w:t>
      </w:r>
    </w:p>
    <w:p w:rsidR="00F56011" w:rsidRDefault="00F56011" w:rsidP="00940E02"/>
    <w:p w:rsidR="00940E02" w:rsidRPr="00940E02" w:rsidRDefault="0001468B" w:rsidP="00940E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Select top 5 review </w:t>
      </w:r>
      <w:r w:rsidR="00940E02" w:rsidRPr="00940E02">
        <w:rPr>
          <w:b/>
        </w:rPr>
        <w:t>questions</w:t>
      </w:r>
    </w:p>
    <w:p w:rsidR="00940E02" w:rsidRDefault="00940E02" w:rsidP="00940E02">
      <w:r>
        <w:t>Stakeholders: Steering group</w:t>
      </w:r>
    </w:p>
    <w:p w:rsidR="00D75C53" w:rsidRDefault="005D1ECD" w:rsidP="00940E02">
      <w:r>
        <w:t>Process: T</w:t>
      </w:r>
      <w:r w:rsidR="004B7E53">
        <w:t xml:space="preserve">he steering group will consider the top 10 questions and associated evidence maps and come up with a recommendation for the top </w:t>
      </w:r>
      <w:r w:rsidR="00215D31">
        <w:t>five</w:t>
      </w:r>
      <w:r w:rsidR="004B7E53">
        <w:t xml:space="preserve"> or so questions to be developed into Cochrane reviews.</w:t>
      </w:r>
      <w:r w:rsidR="003D3B5B">
        <w:t xml:space="preserve"> </w:t>
      </w:r>
      <w:r w:rsidR="001462EE">
        <w:t>P</w:t>
      </w:r>
      <w:r w:rsidR="003D3B5B">
        <w:t xml:space="preserve">articipants from </w:t>
      </w:r>
      <w:r w:rsidR="001462EE">
        <w:t xml:space="preserve">the prioritisation workshop </w:t>
      </w:r>
      <w:r w:rsidR="003D3B5B">
        <w:t xml:space="preserve">will be invited to comment on or appeal the final top </w:t>
      </w:r>
      <w:r w:rsidR="00140F4D">
        <w:t>five</w:t>
      </w:r>
      <w:r w:rsidR="003D3B5B">
        <w:t xml:space="preserve"> questions</w:t>
      </w:r>
      <w:r w:rsidR="00D91215">
        <w:t xml:space="preserve"> via an email invitation</w:t>
      </w:r>
      <w:r w:rsidR="003D3B5B">
        <w:t>.</w:t>
      </w:r>
      <w:r w:rsidR="004B7E53">
        <w:t xml:space="preserve"> </w:t>
      </w:r>
    </w:p>
    <w:p w:rsidR="005D7071" w:rsidRDefault="005D7071" w:rsidP="00940E02">
      <w:r>
        <w:t>Timeframe:</w:t>
      </w:r>
      <w:r w:rsidR="00790BD1">
        <w:t xml:space="preserve"> September - October 2015</w:t>
      </w:r>
    </w:p>
    <w:p w:rsidR="00F56011" w:rsidRPr="004B7E53" w:rsidRDefault="00F56011" w:rsidP="00940E02"/>
    <w:p w:rsidR="004B7E53" w:rsidRPr="004B7E53" w:rsidRDefault="00D75C53" w:rsidP="004B7E53">
      <w:pPr>
        <w:pStyle w:val="ListParagraph"/>
        <w:numPr>
          <w:ilvl w:val="0"/>
          <w:numId w:val="2"/>
        </w:numPr>
        <w:rPr>
          <w:b/>
        </w:rPr>
      </w:pPr>
      <w:r w:rsidRPr="004B7E53">
        <w:rPr>
          <w:b/>
        </w:rPr>
        <w:t>Dissemina</w:t>
      </w:r>
      <w:r w:rsidR="004B7E53" w:rsidRPr="004B7E53">
        <w:rPr>
          <w:b/>
        </w:rPr>
        <w:t>tion</w:t>
      </w:r>
    </w:p>
    <w:p w:rsidR="004B7E53" w:rsidRDefault="004B7E53" w:rsidP="004B7E53">
      <w:r>
        <w:t>Stakeholders: CC&amp;CRG staff, steering group</w:t>
      </w:r>
    </w:p>
    <w:p w:rsidR="004A5E43" w:rsidRDefault="004B7E53" w:rsidP="004A5E43">
      <w:r>
        <w:t xml:space="preserve">Process: </w:t>
      </w:r>
      <w:r w:rsidR="00D75C53">
        <w:t xml:space="preserve">We will set up a research prioritisation page on our web site to keep stakeholders informed of our progress and </w:t>
      </w:r>
      <w:r w:rsidR="003D3B5B">
        <w:t xml:space="preserve">will </w:t>
      </w:r>
      <w:r w:rsidR="00D75C53">
        <w:t>actively disseminate the</w:t>
      </w:r>
      <w:r w:rsidR="003D3B5B">
        <w:t xml:space="preserve"> results </w:t>
      </w:r>
      <w:r w:rsidR="00C456E5">
        <w:t xml:space="preserve">of every stage </w:t>
      </w:r>
      <w:r w:rsidR="003D3B5B">
        <w:t xml:space="preserve">to those involved in or potentially interested in the project, such as research funders, consumer groups, researchers, health service staff etc. </w:t>
      </w:r>
    </w:p>
    <w:p w:rsidR="00790BD1" w:rsidRDefault="005D7071" w:rsidP="004A5E43">
      <w:r>
        <w:t>Timeframe:</w:t>
      </w:r>
      <w:r w:rsidR="00790BD1">
        <w:t xml:space="preserve"> November 2015</w:t>
      </w:r>
    </w:p>
    <w:p w:rsidR="00F56011" w:rsidRDefault="00F56011" w:rsidP="004A5E43">
      <w:pPr>
        <w:rPr>
          <w:b/>
        </w:rPr>
      </w:pPr>
    </w:p>
    <w:p w:rsidR="004D4163" w:rsidRDefault="004D4163" w:rsidP="004D4163">
      <w:pPr>
        <w:rPr>
          <w:b/>
        </w:rPr>
      </w:pPr>
      <w:r>
        <w:rPr>
          <w:b/>
        </w:rPr>
        <w:t>Next steps</w:t>
      </w:r>
    </w:p>
    <w:p w:rsidR="004D4163" w:rsidRDefault="004D4163" w:rsidP="004A5E43">
      <w:r>
        <w:t>In 2016, we will invite review teams to undertake our high-priority reviews. We are currently exploring funding and partnership avenues that will allow us to trial novel review production and participation approaches</w:t>
      </w:r>
      <w:r w:rsidR="00215D31">
        <w:t xml:space="preserve"> as part of the development of these reviews</w:t>
      </w:r>
      <w:r>
        <w:t>.</w:t>
      </w:r>
    </w:p>
    <w:p w:rsidR="00F56011" w:rsidRPr="004D4163" w:rsidRDefault="00F56011" w:rsidP="004A5E43"/>
    <w:p w:rsidR="0066399D" w:rsidRPr="0066399D" w:rsidRDefault="0066399D" w:rsidP="004A5E43">
      <w:pPr>
        <w:rPr>
          <w:b/>
        </w:rPr>
      </w:pPr>
      <w:r>
        <w:rPr>
          <w:b/>
        </w:rPr>
        <w:t>Contact:</w:t>
      </w:r>
    </w:p>
    <w:p w:rsidR="006278C6" w:rsidRDefault="0066399D" w:rsidP="00940E02">
      <w:r w:rsidRPr="0066399D">
        <w:t>For more information</w:t>
      </w:r>
      <w:r>
        <w:t xml:space="preserve"> or</w:t>
      </w:r>
      <w:r w:rsidRPr="0066399D">
        <w:t xml:space="preserve"> </w:t>
      </w:r>
      <w:r>
        <w:t xml:space="preserve">to get involved please contact Annie Synnot at </w:t>
      </w:r>
      <w:hyperlink r:id="rId11" w:history="1">
        <w:r w:rsidRPr="00C05117">
          <w:rPr>
            <w:rStyle w:val="Hyperlink"/>
          </w:rPr>
          <w:t>a.synnot@latrobe.edu.au</w:t>
        </w:r>
      </w:hyperlink>
      <w:r>
        <w:t xml:space="preserve"> or 03 9479 1086</w:t>
      </w:r>
    </w:p>
    <w:p w:rsidR="003530DA" w:rsidRDefault="003530DA" w:rsidP="00940E02"/>
    <w:p w:rsidR="003530DA" w:rsidRDefault="003530DA">
      <w:r>
        <w:br w:type="page"/>
      </w:r>
    </w:p>
    <w:p w:rsidR="003530DA" w:rsidRPr="003530DA" w:rsidRDefault="003530DA" w:rsidP="00940E02">
      <w:pPr>
        <w:rPr>
          <w:b/>
        </w:rPr>
      </w:pPr>
      <w:r w:rsidRPr="003530DA">
        <w:rPr>
          <w:b/>
        </w:rPr>
        <w:lastRenderedPageBreak/>
        <w:t>Deliverables and key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337"/>
      </w:tblGrid>
      <w:tr w:rsidR="003530DA" w:rsidTr="00014DA3">
        <w:trPr>
          <w:trHeight w:val="397"/>
        </w:trPr>
        <w:tc>
          <w:tcPr>
            <w:tcW w:w="6487" w:type="dxa"/>
            <w:vAlign w:val="center"/>
          </w:tcPr>
          <w:p w:rsidR="003530DA" w:rsidRPr="003530DA" w:rsidRDefault="003530DA" w:rsidP="00014DA3">
            <w:pPr>
              <w:rPr>
                <w:b/>
              </w:rPr>
            </w:pPr>
            <w:r w:rsidRPr="003530DA">
              <w:rPr>
                <w:b/>
              </w:rPr>
              <w:t>Component</w:t>
            </w:r>
          </w:p>
        </w:tc>
        <w:tc>
          <w:tcPr>
            <w:tcW w:w="1418" w:type="dxa"/>
            <w:vAlign w:val="center"/>
          </w:tcPr>
          <w:p w:rsidR="003530DA" w:rsidRPr="003530DA" w:rsidRDefault="003530DA" w:rsidP="00014DA3">
            <w:pPr>
              <w:jc w:val="center"/>
              <w:rPr>
                <w:b/>
              </w:rPr>
            </w:pPr>
            <w:r w:rsidRPr="003530DA">
              <w:rPr>
                <w:b/>
              </w:rPr>
              <w:t>Start</w:t>
            </w:r>
          </w:p>
        </w:tc>
        <w:tc>
          <w:tcPr>
            <w:tcW w:w="1337" w:type="dxa"/>
            <w:vAlign w:val="center"/>
          </w:tcPr>
          <w:p w:rsidR="003530DA" w:rsidRPr="003530DA" w:rsidRDefault="003530DA" w:rsidP="00014DA3">
            <w:pPr>
              <w:jc w:val="center"/>
              <w:rPr>
                <w:b/>
              </w:rPr>
            </w:pPr>
            <w:r w:rsidRPr="003530DA">
              <w:rPr>
                <w:b/>
              </w:rPr>
              <w:t>Finish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4000FE" w:rsidP="00014DA3">
            <w:r>
              <w:t xml:space="preserve">Preparatory research: </w:t>
            </w:r>
            <w:r w:rsidR="00173993">
              <w:t xml:space="preserve">meet with experts, </w:t>
            </w:r>
            <w:r>
              <w:t>undertake policy scan, evidence map, previous priority setting research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Jan 2015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Mar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4000FE" w:rsidP="00014DA3">
            <w:r>
              <w:t>Convene steering group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Feb 2015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Mar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Pr="00173993" w:rsidRDefault="004000FE" w:rsidP="00014DA3">
            <w:pPr>
              <w:rPr>
                <w:b/>
                <w:i/>
              </w:rPr>
            </w:pPr>
            <w:r w:rsidRPr="00173993">
              <w:rPr>
                <w:b/>
                <w:i/>
              </w:rPr>
              <w:t>Steering group meeting 1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Mar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4000FE" w:rsidP="00014DA3">
            <w:r>
              <w:t>Define the scope of the project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Mar 2015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Apr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4000FE" w:rsidP="00014DA3">
            <w:r>
              <w:t>Prepare and submit ethics application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Mar 2015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Apr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4000FE" w:rsidP="00014DA3">
            <w:r>
              <w:t>Preparation and piloting of online survey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Mar 2015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Apr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Pr="00173993" w:rsidRDefault="00173993" w:rsidP="00014DA3">
            <w:pPr>
              <w:rPr>
                <w:b/>
                <w:i/>
              </w:rPr>
            </w:pPr>
            <w:r>
              <w:rPr>
                <w:b/>
                <w:i/>
              </w:rPr>
              <w:t>Conduct online survey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Apr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Pr="004000FE" w:rsidRDefault="004000FE" w:rsidP="00014DA3">
            <w:r w:rsidRPr="004000FE">
              <w:t xml:space="preserve">Analysis </w:t>
            </w:r>
            <w:r>
              <w:t xml:space="preserve">and synthesis </w:t>
            </w:r>
            <w:r w:rsidRPr="004000FE">
              <w:t>of online survey results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Apr 2015</w:t>
            </w:r>
          </w:p>
        </w:tc>
        <w:tc>
          <w:tcPr>
            <w:tcW w:w="1337" w:type="dxa"/>
            <w:vAlign w:val="center"/>
          </w:tcPr>
          <w:p w:rsidR="004000FE" w:rsidRDefault="004000FE" w:rsidP="00014DA3">
            <w:pPr>
              <w:jc w:val="center"/>
            </w:pPr>
            <w:r>
              <w:t>May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Pr="00173993" w:rsidRDefault="004000FE" w:rsidP="00014DA3">
            <w:pPr>
              <w:rPr>
                <w:b/>
                <w:i/>
              </w:rPr>
            </w:pPr>
            <w:r w:rsidRPr="00173993">
              <w:rPr>
                <w:b/>
                <w:i/>
              </w:rPr>
              <w:t>Steering group meeting 2</w:t>
            </w:r>
          </w:p>
        </w:tc>
        <w:tc>
          <w:tcPr>
            <w:tcW w:w="1418" w:type="dxa"/>
            <w:vAlign w:val="center"/>
          </w:tcPr>
          <w:p w:rsidR="004000FE" w:rsidRDefault="004000FE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May</w:t>
            </w:r>
            <w:r w:rsidR="004000FE">
              <w:t xml:space="preserve"> 2015</w:t>
            </w:r>
          </w:p>
        </w:tc>
      </w:tr>
      <w:tr w:rsidR="00173993" w:rsidTr="00014DA3">
        <w:trPr>
          <w:trHeight w:val="397"/>
        </w:trPr>
        <w:tc>
          <w:tcPr>
            <w:tcW w:w="6487" w:type="dxa"/>
            <w:vAlign w:val="center"/>
          </w:tcPr>
          <w:p w:rsidR="00173993" w:rsidRPr="00173993" w:rsidRDefault="00173993" w:rsidP="00014DA3">
            <w:pPr>
              <w:rPr>
                <w:b/>
                <w:i/>
              </w:rPr>
            </w:pPr>
            <w:r>
              <w:t>Disseminate the survey results to stakeholders</w:t>
            </w:r>
          </w:p>
        </w:tc>
        <w:tc>
          <w:tcPr>
            <w:tcW w:w="1418" w:type="dxa"/>
            <w:vAlign w:val="center"/>
          </w:tcPr>
          <w:p w:rsidR="00173993" w:rsidRDefault="00173993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173993" w:rsidRDefault="00173993" w:rsidP="00014DA3">
            <w:pPr>
              <w:jc w:val="center"/>
            </w:pPr>
            <w:r>
              <w:t>Jun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4000FE" w:rsidP="00014DA3">
            <w:r>
              <w:t xml:space="preserve">Preparation for </w:t>
            </w:r>
            <w:r w:rsidR="00173993">
              <w:t>workshop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Apr 2015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Jun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173993" w:rsidP="00014DA3">
            <w:r>
              <w:t>Recruitment for workshop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May 2015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Jun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Pr="00173993" w:rsidRDefault="00173993" w:rsidP="00014DA3">
            <w:pPr>
              <w:rPr>
                <w:b/>
                <w:i/>
              </w:rPr>
            </w:pPr>
            <w:r>
              <w:rPr>
                <w:b/>
                <w:i/>
              </w:rPr>
              <w:t>Conduct face-to-face</w:t>
            </w:r>
            <w:r w:rsidRPr="00173993">
              <w:rPr>
                <w:b/>
                <w:i/>
              </w:rPr>
              <w:t xml:space="preserve"> workshop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July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173993" w:rsidP="00014DA3">
            <w:r>
              <w:t>Analysis and synthesis of workshop results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Aug 2015</w:t>
            </w:r>
          </w:p>
        </w:tc>
      </w:tr>
      <w:tr w:rsidR="00173993" w:rsidTr="00014DA3">
        <w:trPr>
          <w:trHeight w:val="397"/>
        </w:trPr>
        <w:tc>
          <w:tcPr>
            <w:tcW w:w="6487" w:type="dxa"/>
            <w:vAlign w:val="center"/>
          </w:tcPr>
          <w:p w:rsidR="00173993" w:rsidRDefault="00173993" w:rsidP="00014DA3">
            <w:r>
              <w:t>Disseminate workshop results to stakeholders</w:t>
            </w:r>
          </w:p>
        </w:tc>
        <w:tc>
          <w:tcPr>
            <w:tcW w:w="1418" w:type="dxa"/>
            <w:vAlign w:val="center"/>
          </w:tcPr>
          <w:p w:rsidR="00173993" w:rsidRDefault="00173993" w:rsidP="00014DA3">
            <w:pPr>
              <w:jc w:val="center"/>
            </w:pPr>
          </w:p>
        </w:tc>
        <w:tc>
          <w:tcPr>
            <w:tcW w:w="1337" w:type="dxa"/>
            <w:vAlign w:val="center"/>
          </w:tcPr>
          <w:p w:rsidR="00173993" w:rsidRDefault="00173993" w:rsidP="00014DA3">
            <w:pPr>
              <w:jc w:val="center"/>
            </w:pPr>
            <w:r>
              <w:t>Sept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173993" w:rsidP="00014DA3">
            <w:r>
              <w:t>Conduct evidence mapping of top 10 priority questions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Aug 2015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Sept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Pr="00173993" w:rsidRDefault="00173993" w:rsidP="00014DA3">
            <w:pPr>
              <w:rPr>
                <w:b/>
              </w:rPr>
            </w:pPr>
            <w:r w:rsidRPr="00173993">
              <w:rPr>
                <w:b/>
                <w:i/>
              </w:rPr>
              <w:t>Steering group meeting 3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Sept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173993" w:rsidP="00014DA3">
            <w:r>
              <w:t>Decide on five questions to be delivered as Cochrane reviews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Sept 2015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Oct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173993" w:rsidP="00014DA3">
            <w:r>
              <w:t xml:space="preserve">Disseminate the </w:t>
            </w:r>
            <w:proofErr w:type="gramStart"/>
            <w:r w:rsidR="008750A7">
              <w:t xml:space="preserve">final </w:t>
            </w:r>
            <w:r>
              <w:t>results</w:t>
            </w:r>
            <w:proofErr w:type="gramEnd"/>
            <w:r>
              <w:t xml:space="preserve"> to stakeholders</w:t>
            </w:r>
          </w:p>
        </w:tc>
        <w:tc>
          <w:tcPr>
            <w:tcW w:w="1418" w:type="dxa"/>
            <w:vAlign w:val="center"/>
          </w:tcPr>
          <w:p w:rsidR="004000FE" w:rsidRDefault="00173993" w:rsidP="00014DA3">
            <w:pPr>
              <w:jc w:val="center"/>
            </w:pPr>
            <w:r>
              <w:t>/</w:t>
            </w:r>
          </w:p>
        </w:tc>
        <w:tc>
          <w:tcPr>
            <w:tcW w:w="1337" w:type="dxa"/>
            <w:vAlign w:val="center"/>
          </w:tcPr>
          <w:p w:rsidR="004000FE" w:rsidRDefault="00173993" w:rsidP="00014DA3">
            <w:pPr>
              <w:jc w:val="center"/>
            </w:pPr>
            <w:r>
              <w:t>Nov 2015</w:t>
            </w:r>
          </w:p>
        </w:tc>
      </w:tr>
      <w:tr w:rsidR="004000FE" w:rsidTr="00014DA3">
        <w:trPr>
          <w:trHeight w:val="397"/>
        </w:trPr>
        <w:tc>
          <w:tcPr>
            <w:tcW w:w="6487" w:type="dxa"/>
            <w:vAlign w:val="center"/>
          </w:tcPr>
          <w:p w:rsidR="004000FE" w:rsidRDefault="008750A7" w:rsidP="00014DA3">
            <w:r>
              <w:t>Preparation of formal academic outputs (peer reviewed publications and conference presentations)</w:t>
            </w:r>
          </w:p>
        </w:tc>
        <w:tc>
          <w:tcPr>
            <w:tcW w:w="1418" w:type="dxa"/>
            <w:vAlign w:val="center"/>
          </w:tcPr>
          <w:p w:rsidR="004000FE" w:rsidRDefault="008750A7" w:rsidP="00014DA3">
            <w:pPr>
              <w:jc w:val="center"/>
            </w:pPr>
            <w:r>
              <w:t>Jun 2015</w:t>
            </w:r>
          </w:p>
        </w:tc>
        <w:tc>
          <w:tcPr>
            <w:tcW w:w="1337" w:type="dxa"/>
            <w:vAlign w:val="center"/>
          </w:tcPr>
          <w:p w:rsidR="004000FE" w:rsidRDefault="008750A7" w:rsidP="00014DA3">
            <w:pPr>
              <w:jc w:val="center"/>
            </w:pPr>
            <w:r>
              <w:t>Mar 2016</w:t>
            </w:r>
          </w:p>
        </w:tc>
      </w:tr>
    </w:tbl>
    <w:p w:rsidR="003530DA" w:rsidRDefault="003530DA" w:rsidP="00940E02"/>
    <w:p w:rsidR="003530DA" w:rsidRDefault="003530DA" w:rsidP="00940E02"/>
    <w:sectPr w:rsidR="003530D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09" w:rsidRDefault="008F4409" w:rsidP="00D75C53">
      <w:pPr>
        <w:spacing w:after="0" w:line="240" w:lineRule="auto"/>
      </w:pPr>
      <w:r>
        <w:separator/>
      </w:r>
    </w:p>
  </w:endnote>
  <w:endnote w:type="continuationSeparator" w:id="0">
    <w:p w:rsidR="008F4409" w:rsidRDefault="008F4409" w:rsidP="00D7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C53" w:rsidRDefault="003065BC" w:rsidP="00D75C53">
    <w:pPr>
      <w:pStyle w:val="Footer"/>
      <w:jc w:val="right"/>
    </w:pPr>
    <w:r>
      <w:t>Updated March 2015</w:t>
    </w:r>
  </w:p>
  <w:p w:rsidR="00D75C53" w:rsidRDefault="00D75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09" w:rsidRDefault="008F4409" w:rsidP="00D75C53">
      <w:pPr>
        <w:spacing w:after="0" w:line="240" w:lineRule="auto"/>
      </w:pPr>
      <w:r>
        <w:separator/>
      </w:r>
    </w:p>
  </w:footnote>
  <w:footnote w:type="continuationSeparator" w:id="0">
    <w:p w:rsidR="008F4409" w:rsidRDefault="008F4409" w:rsidP="00D7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7289"/>
    <w:multiLevelType w:val="hybridMultilevel"/>
    <w:tmpl w:val="99908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1917"/>
    <w:multiLevelType w:val="hybridMultilevel"/>
    <w:tmpl w:val="6A8E6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4340"/>
    <w:multiLevelType w:val="hybridMultilevel"/>
    <w:tmpl w:val="7904F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F39"/>
    <w:multiLevelType w:val="hybridMultilevel"/>
    <w:tmpl w:val="0740A0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6B1"/>
    <w:multiLevelType w:val="hybridMultilevel"/>
    <w:tmpl w:val="5AFC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4752"/>
    <w:multiLevelType w:val="hybridMultilevel"/>
    <w:tmpl w:val="98440B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0B01"/>
    <w:multiLevelType w:val="hybridMultilevel"/>
    <w:tmpl w:val="99908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1F35"/>
    <w:multiLevelType w:val="hybridMultilevel"/>
    <w:tmpl w:val="BFAE2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B1F8D"/>
    <w:multiLevelType w:val="hybridMultilevel"/>
    <w:tmpl w:val="99908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E02"/>
    <w:rsid w:val="0001468B"/>
    <w:rsid w:val="00014DA3"/>
    <w:rsid w:val="000E7B2E"/>
    <w:rsid w:val="00104F90"/>
    <w:rsid w:val="00140F4D"/>
    <w:rsid w:val="001462EE"/>
    <w:rsid w:val="00173993"/>
    <w:rsid w:val="00180103"/>
    <w:rsid w:val="001E244D"/>
    <w:rsid w:val="002025BB"/>
    <w:rsid w:val="0021447A"/>
    <w:rsid w:val="00215D31"/>
    <w:rsid w:val="00241156"/>
    <w:rsid w:val="00247C03"/>
    <w:rsid w:val="002653D0"/>
    <w:rsid w:val="002A0364"/>
    <w:rsid w:val="002B32D6"/>
    <w:rsid w:val="002D5756"/>
    <w:rsid w:val="002F7504"/>
    <w:rsid w:val="003065BC"/>
    <w:rsid w:val="00335274"/>
    <w:rsid w:val="003530DA"/>
    <w:rsid w:val="003D3B5B"/>
    <w:rsid w:val="004000FE"/>
    <w:rsid w:val="004A5E43"/>
    <w:rsid w:val="004B7E53"/>
    <w:rsid w:val="004D4163"/>
    <w:rsid w:val="00544911"/>
    <w:rsid w:val="005D1ECD"/>
    <w:rsid w:val="005D7071"/>
    <w:rsid w:val="0060136B"/>
    <w:rsid w:val="00617F01"/>
    <w:rsid w:val="006278C6"/>
    <w:rsid w:val="0066399D"/>
    <w:rsid w:val="00702699"/>
    <w:rsid w:val="00732893"/>
    <w:rsid w:val="007351A7"/>
    <w:rsid w:val="00790BD1"/>
    <w:rsid w:val="007A35E5"/>
    <w:rsid w:val="007B54B9"/>
    <w:rsid w:val="007D5C13"/>
    <w:rsid w:val="007D7793"/>
    <w:rsid w:val="00827394"/>
    <w:rsid w:val="00841A07"/>
    <w:rsid w:val="00867F64"/>
    <w:rsid w:val="00874FA9"/>
    <w:rsid w:val="008750A7"/>
    <w:rsid w:val="00882129"/>
    <w:rsid w:val="008F4409"/>
    <w:rsid w:val="00940E02"/>
    <w:rsid w:val="00986106"/>
    <w:rsid w:val="009D1754"/>
    <w:rsid w:val="00A922E3"/>
    <w:rsid w:val="00AD39A0"/>
    <w:rsid w:val="00B129A9"/>
    <w:rsid w:val="00B433C3"/>
    <w:rsid w:val="00B5270E"/>
    <w:rsid w:val="00B75DF1"/>
    <w:rsid w:val="00B93630"/>
    <w:rsid w:val="00BB7DF8"/>
    <w:rsid w:val="00C168A2"/>
    <w:rsid w:val="00C456E5"/>
    <w:rsid w:val="00C8679B"/>
    <w:rsid w:val="00CC0356"/>
    <w:rsid w:val="00CF04C7"/>
    <w:rsid w:val="00D75C53"/>
    <w:rsid w:val="00D91215"/>
    <w:rsid w:val="00DC7A10"/>
    <w:rsid w:val="00DE6DFF"/>
    <w:rsid w:val="00E16E87"/>
    <w:rsid w:val="00E178AF"/>
    <w:rsid w:val="00ED5A64"/>
    <w:rsid w:val="00F209ED"/>
    <w:rsid w:val="00F4457F"/>
    <w:rsid w:val="00F56011"/>
    <w:rsid w:val="00F567DA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D08C"/>
  <w15:docId w15:val="{E98E6DF5-7E94-4F1D-8471-E0C2ABA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C53"/>
  </w:style>
  <w:style w:type="paragraph" w:styleId="Footer">
    <w:name w:val="footer"/>
    <w:basedOn w:val="Normal"/>
    <w:link w:val="FooterChar"/>
    <w:uiPriority w:val="99"/>
    <w:unhideWhenUsed/>
    <w:rsid w:val="00D75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53"/>
  </w:style>
  <w:style w:type="paragraph" w:styleId="BalloonText">
    <w:name w:val="Balloon Text"/>
    <w:basedOn w:val="Normal"/>
    <w:link w:val="BalloonTextChar"/>
    <w:uiPriority w:val="99"/>
    <w:semiHidden/>
    <w:unhideWhenUsed/>
    <w:rsid w:val="00D7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A5E43"/>
  </w:style>
  <w:style w:type="character" w:styleId="Hyperlink">
    <w:name w:val="Hyperlink"/>
    <w:basedOn w:val="DefaultParagraphFont"/>
    <w:uiPriority w:val="99"/>
    <w:unhideWhenUsed/>
    <w:rsid w:val="004A5E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04"/>
    <w:rPr>
      <w:b/>
      <w:bCs/>
      <w:sz w:val="20"/>
      <w:szCs w:val="20"/>
    </w:rPr>
  </w:style>
  <w:style w:type="paragraph" w:customStyle="1" w:styleId="Default">
    <w:name w:val="Default"/>
    <w:rsid w:val="00ED5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32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rg.cochrane.org/about-us/priority-review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ynnot@latrobe.edu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trobe.edu.au/aipca/about/chc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ccrg.cochran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6C56-6C91-4402-9224-68748B74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 Synnot</dc:creator>
  <cp:lastModifiedBy>Karen Head</cp:lastModifiedBy>
  <cp:revision>5</cp:revision>
  <cp:lastPrinted>2015-03-09T00:29:00Z</cp:lastPrinted>
  <dcterms:created xsi:type="dcterms:W3CDTF">2015-03-17T05:20:00Z</dcterms:created>
  <dcterms:modified xsi:type="dcterms:W3CDTF">2018-11-09T13:35:00Z</dcterms:modified>
</cp:coreProperties>
</file>